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16AF" w:rsidRPr="00956ADD" w:rsidRDefault="0051119D">
      <w:pPr>
        <w:rPr>
          <w:rFonts w:asciiTheme="minorHAnsi" w:hAnsiTheme="minorHAnsi"/>
          <w:sz w:val="22"/>
          <w:szCs w:val="22"/>
        </w:rPr>
      </w:pPr>
      <w:r w:rsidRPr="00956ADD">
        <w:rPr>
          <w:rFonts w:asciiTheme="minorHAnsi" w:eastAsia="Georgia" w:hAnsiTheme="minorHAnsi" w:cs="Georgia"/>
          <w:sz w:val="22"/>
          <w:szCs w:val="22"/>
        </w:rPr>
        <w:t xml:space="preserve">Dear members of the </w:t>
      </w:r>
      <w:r w:rsidRPr="00A11409">
        <w:rPr>
          <w:rFonts w:asciiTheme="minorHAnsi" w:eastAsia="Georgia" w:hAnsiTheme="minorHAnsi" w:cs="Georgia"/>
          <w:sz w:val="22"/>
          <w:szCs w:val="22"/>
        </w:rPr>
        <w:t>[NAME OF CITY] S</w:t>
      </w:r>
      <w:r w:rsidR="00956ADD" w:rsidRPr="00A11409">
        <w:rPr>
          <w:rFonts w:asciiTheme="minorHAnsi" w:eastAsia="Georgia" w:hAnsiTheme="minorHAnsi" w:cs="Georgia"/>
          <w:sz w:val="22"/>
          <w:szCs w:val="22"/>
        </w:rPr>
        <w:t>chool Board,</w:t>
      </w:r>
    </w:p>
    <w:p w:rsidR="00FC16AF" w:rsidRPr="00956ADD" w:rsidRDefault="00FC16AF">
      <w:pPr>
        <w:rPr>
          <w:rFonts w:asciiTheme="minorHAnsi" w:hAnsiTheme="minorHAnsi"/>
          <w:sz w:val="22"/>
          <w:szCs w:val="22"/>
        </w:rPr>
      </w:pPr>
    </w:p>
    <w:p w:rsidR="00FC16AF" w:rsidRPr="00956ADD" w:rsidRDefault="0051119D">
      <w:pPr>
        <w:rPr>
          <w:rFonts w:asciiTheme="minorHAnsi" w:hAnsiTheme="minorHAnsi"/>
          <w:sz w:val="22"/>
          <w:szCs w:val="22"/>
        </w:rPr>
      </w:pPr>
      <w:r w:rsidRPr="00956ADD">
        <w:rPr>
          <w:rFonts w:asciiTheme="minorHAnsi" w:hAnsiTheme="minorHAnsi"/>
          <w:sz w:val="22"/>
          <w:szCs w:val="22"/>
        </w:rPr>
        <w:t xml:space="preserve">I am writing to urge the </w:t>
      </w:r>
      <w:r w:rsidRPr="00A11409">
        <w:rPr>
          <w:rFonts w:asciiTheme="minorHAnsi" w:eastAsia="Georgia" w:hAnsiTheme="minorHAnsi" w:cs="Georgia"/>
          <w:sz w:val="22"/>
          <w:szCs w:val="22"/>
        </w:rPr>
        <w:t>[NAME OF DISTRICT]</w:t>
      </w:r>
      <w:r w:rsidRPr="00956ADD">
        <w:rPr>
          <w:rFonts w:asciiTheme="minorHAnsi" w:eastAsia="Georgia" w:hAnsiTheme="minorHAnsi" w:cs="Georgia"/>
          <w:sz w:val="22"/>
          <w:szCs w:val="22"/>
        </w:rPr>
        <w:t xml:space="preserve"> to adopt a strong, enforceable policy that ends all forms of junk food marketing,</w:t>
      </w:r>
      <w:r w:rsidRPr="00956ADD">
        <w:rPr>
          <w:rFonts w:asciiTheme="minorHAnsi" w:eastAsia="Georgia" w:hAnsiTheme="minorHAnsi" w:cs="Georgia"/>
          <w:b/>
          <w:sz w:val="22"/>
          <w:szCs w:val="22"/>
        </w:rPr>
        <w:t xml:space="preserve"> </w:t>
      </w:r>
      <w:r w:rsidRPr="00956ADD">
        <w:rPr>
          <w:rFonts w:asciiTheme="minorHAnsi" w:eastAsia="Georgia" w:hAnsiTheme="minorHAnsi" w:cs="Georgia"/>
          <w:sz w:val="22"/>
          <w:szCs w:val="22"/>
        </w:rPr>
        <w:t xml:space="preserve">promotion, and sponsorship in our schools, particularly so-called “fundraisers” like </w:t>
      </w:r>
      <w:proofErr w:type="spellStart"/>
      <w:r w:rsidRPr="00956ADD">
        <w:rPr>
          <w:rFonts w:asciiTheme="minorHAnsi" w:eastAsia="Georgia" w:hAnsiTheme="minorHAnsi" w:cs="Georgia"/>
          <w:sz w:val="22"/>
          <w:szCs w:val="22"/>
        </w:rPr>
        <w:t>McTeacher’s</w:t>
      </w:r>
      <w:proofErr w:type="spellEnd"/>
      <w:r w:rsidRPr="00956ADD">
        <w:rPr>
          <w:rFonts w:asciiTheme="minorHAnsi" w:eastAsia="Georgia" w:hAnsiTheme="minorHAnsi" w:cs="Georgia"/>
          <w:sz w:val="22"/>
          <w:szCs w:val="22"/>
        </w:rPr>
        <w:t xml:space="preserve"> Nights.</w:t>
      </w:r>
    </w:p>
    <w:p w:rsidR="00FC16AF" w:rsidRPr="00956ADD" w:rsidRDefault="00FC16AF">
      <w:pPr>
        <w:rPr>
          <w:rFonts w:asciiTheme="minorHAnsi" w:hAnsiTheme="minorHAnsi"/>
          <w:sz w:val="22"/>
          <w:szCs w:val="22"/>
        </w:rPr>
      </w:pPr>
    </w:p>
    <w:p w:rsidR="00FC16AF" w:rsidRPr="00956ADD" w:rsidRDefault="0051119D">
      <w:pPr>
        <w:rPr>
          <w:rFonts w:asciiTheme="minorHAnsi" w:hAnsiTheme="minorHAnsi"/>
          <w:sz w:val="22"/>
          <w:szCs w:val="22"/>
        </w:rPr>
      </w:pPr>
      <w:r w:rsidRPr="00956ADD">
        <w:rPr>
          <w:rFonts w:asciiTheme="minorHAnsi" w:eastAsia="Georgia" w:hAnsiTheme="minorHAnsi" w:cs="Georgia"/>
          <w:sz w:val="22"/>
          <w:szCs w:val="22"/>
        </w:rPr>
        <w:t>We currently face an epidemic of diet-related disease where one in three children who were born in the year 2000 will develop Type 2 diabetes in their lifetime if current trends continue.</w:t>
      </w:r>
      <w:r w:rsidRPr="00956ADD">
        <w:rPr>
          <w:rFonts w:asciiTheme="minorHAnsi" w:eastAsia="Georgia" w:hAnsiTheme="minorHAnsi" w:cs="Georgia"/>
          <w:sz w:val="22"/>
          <w:szCs w:val="22"/>
          <w:vertAlign w:val="superscript"/>
        </w:rPr>
        <w:footnoteReference w:id="1"/>
      </w:r>
      <w:r w:rsidRPr="00956ADD">
        <w:rPr>
          <w:rFonts w:asciiTheme="minorHAnsi" w:eastAsia="Georgia" w:hAnsiTheme="minorHAnsi" w:cs="Georgia"/>
          <w:sz w:val="22"/>
          <w:szCs w:val="22"/>
        </w:rPr>
        <w:t xml:space="preserve"> In fact, this generation may be the first in U.S. history to live shorter lives than their parents.</w:t>
      </w:r>
      <w:r w:rsidRPr="00956ADD">
        <w:rPr>
          <w:rFonts w:asciiTheme="minorHAnsi" w:eastAsia="Georgia" w:hAnsiTheme="minorHAnsi" w:cs="Georgia"/>
          <w:sz w:val="22"/>
          <w:szCs w:val="22"/>
          <w:vertAlign w:val="superscript"/>
        </w:rPr>
        <w:footnoteReference w:id="2"/>
      </w:r>
    </w:p>
    <w:p w:rsidR="00FC16AF" w:rsidRPr="00956ADD" w:rsidRDefault="00FC16AF">
      <w:pPr>
        <w:rPr>
          <w:rFonts w:asciiTheme="minorHAnsi" w:hAnsiTheme="minorHAnsi"/>
          <w:sz w:val="22"/>
          <w:szCs w:val="22"/>
        </w:rPr>
      </w:pPr>
    </w:p>
    <w:p w:rsidR="00FC16AF" w:rsidRPr="00956ADD" w:rsidRDefault="0051119D">
      <w:pPr>
        <w:rPr>
          <w:rFonts w:asciiTheme="minorHAnsi" w:hAnsiTheme="minorHAnsi"/>
          <w:sz w:val="22"/>
          <w:szCs w:val="22"/>
        </w:rPr>
      </w:pPr>
      <w:r w:rsidRPr="00956ADD">
        <w:rPr>
          <w:rFonts w:asciiTheme="minorHAnsi" w:eastAsia="Georgia" w:hAnsiTheme="minorHAnsi" w:cs="Georgia"/>
          <w:sz w:val="22"/>
          <w:szCs w:val="22"/>
        </w:rPr>
        <w:t>Junk food marketing to children is driving this health crisis.</w:t>
      </w:r>
      <w:r w:rsidRPr="00956ADD">
        <w:rPr>
          <w:rFonts w:asciiTheme="minorHAnsi" w:eastAsia="Georgia" w:hAnsiTheme="minorHAnsi" w:cs="Georgia"/>
          <w:b/>
          <w:sz w:val="22"/>
          <w:szCs w:val="22"/>
        </w:rPr>
        <w:t xml:space="preserve"> </w:t>
      </w:r>
      <w:r w:rsidRPr="00956ADD">
        <w:rPr>
          <w:rFonts w:asciiTheme="minorHAnsi" w:eastAsia="Georgia" w:hAnsiTheme="minorHAnsi" w:cs="Georgia"/>
          <w:sz w:val="22"/>
          <w:szCs w:val="22"/>
        </w:rPr>
        <w:t>This marketing is patently exploitative: As the</w:t>
      </w:r>
      <w:r w:rsidR="00A11409">
        <w:rPr>
          <w:rFonts w:asciiTheme="minorHAnsi" w:eastAsia="Georgia" w:hAnsiTheme="minorHAnsi" w:cs="Georgia"/>
          <w:sz w:val="22"/>
          <w:szCs w:val="22"/>
        </w:rPr>
        <w:t xml:space="preserve"> American Academy of Pediatrics</w:t>
      </w:r>
      <w:r w:rsidRPr="00956ADD">
        <w:rPr>
          <w:rFonts w:asciiTheme="minorHAnsi" w:eastAsia="Georgia" w:hAnsiTheme="minorHAnsi" w:cs="Georgia"/>
          <w:sz w:val="22"/>
          <w:szCs w:val="22"/>
          <w:vertAlign w:val="superscript"/>
        </w:rPr>
        <w:footnoteReference w:id="3"/>
      </w:r>
      <w:r w:rsidR="00A11409">
        <w:rPr>
          <w:rFonts w:asciiTheme="minorHAnsi" w:eastAsia="Georgia" w:hAnsiTheme="minorHAnsi" w:cs="Georgia"/>
          <w:sz w:val="22"/>
          <w:szCs w:val="22"/>
        </w:rPr>
        <w:t xml:space="preserve"> </w:t>
      </w:r>
      <w:r w:rsidRPr="00956ADD">
        <w:rPr>
          <w:rFonts w:asciiTheme="minorHAnsi" w:eastAsia="Georgia" w:hAnsiTheme="minorHAnsi" w:cs="Georgia"/>
          <w:sz w:val="22"/>
          <w:szCs w:val="22"/>
        </w:rPr>
        <w:t>has noted, advertising directed to children is “inherently deceptive” because children do not understand marketing's persuasive intent. Studies from the Institute of Medicine</w:t>
      </w:r>
      <w:r w:rsidR="0008264A">
        <w:rPr>
          <w:rStyle w:val="FootnoteReference"/>
          <w:rFonts w:asciiTheme="minorHAnsi" w:eastAsia="Georgia" w:hAnsiTheme="minorHAnsi" w:cs="Georgia"/>
          <w:sz w:val="22"/>
          <w:szCs w:val="22"/>
        </w:rPr>
        <w:footnoteReference w:id="4"/>
      </w:r>
      <w:r w:rsidRPr="00956ADD">
        <w:rPr>
          <w:rFonts w:asciiTheme="minorHAnsi" w:eastAsia="Georgia" w:hAnsiTheme="minorHAnsi" w:cs="Georgia"/>
          <w:sz w:val="22"/>
          <w:szCs w:val="22"/>
        </w:rPr>
        <w:t xml:space="preserve"> and the National Bureau of Economic Research</w:t>
      </w:r>
      <w:r w:rsidR="0008264A">
        <w:rPr>
          <w:rStyle w:val="FootnoteReference"/>
          <w:rFonts w:asciiTheme="minorHAnsi" w:eastAsia="Georgia" w:hAnsiTheme="minorHAnsi" w:cs="Georgia"/>
          <w:sz w:val="22"/>
          <w:szCs w:val="22"/>
        </w:rPr>
        <w:footnoteReference w:id="5"/>
      </w:r>
      <w:r w:rsidRPr="00956ADD">
        <w:rPr>
          <w:rFonts w:asciiTheme="minorHAnsi" w:eastAsia="Georgia" w:hAnsiTheme="minorHAnsi" w:cs="Georgia"/>
          <w:sz w:val="22"/>
          <w:szCs w:val="22"/>
        </w:rPr>
        <w:t xml:space="preserve"> have found that ending junk food marketing directed at kids could protect the health of millions of children.</w:t>
      </w:r>
    </w:p>
    <w:p w:rsidR="00FC16AF" w:rsidRPr="00956ADD" w:rsidRDefault="00FC16AF">
      <w:pPr>
        <w:rPr>
          <w:rFonts w:asciiTheme="minorHAnsi" w:hAnsiTheme="minorHAnsi"/>
          <w:sz w:val="22"/>
          <w:szCs w:val="22"/>
        </w:rPr>
      </w:pPr>
    </w:p>
    <w:p w:rsidR="00FC16AF" w:rsidRPr="00956ADD" w:rsidRDefault="0051119D">
      <w:pPr>
        <w:rPr>
          <w:rFonts w:asciiTheme="minorHAnsi" w:hAnsiTheme="minorHAnsi"/>
          <w:sz w:val="22"/>
          <w:szCs w:val="22"/>
        </w:rPr>
      </w:pPr>
      <w:r w:rsidRPr="00956ADD">
        <w:rPr>
          <w:rFonts w:asciiTheme="minorHAnsi" w:eastAsia="Georgia" w:hAnsiTheme="minorHAnsi" w:cs="Georgia"/>
          <w:sz w:val="22"/>
          <w:szCs w:val="22"/>
        </w:rPr>
        <w:t xml:space="preserve">Marketing to children is particularly egregious in and around schools, where children are captive audiences. They lack the ability to turn “off” messages their trusted teachers or other staff present to them. And this is why junk food corporations like McDonald’s have exploited schools for decades to earn an undeserved air of credibility for their inherently unhealthy brands. </w:t>
      </w:r>
    </w:p>
    <w:p w:rsidR="00FC16AF" w:rsidRPr="00956ADD" w:rsidRDefault="00FC16AF">
      <w:pPr>
        <w:rPr>
          <w:rFonts w:asciiTheme="minorHAnsi" w:hAnsiTheme="minorHAnsi"/>
          <w:sz w:val="22"/>
          <w:szCs w:val="22"/>
        </w:rPr>
      </w:pPr>
    </w:p>
    <w:p w:rsidR="00FC16AF" w:rsidRPr="00956ADD" w:rsidRDefault="0051119D">
      <w:pPr>
        <w:rPr>
          <w:rFonts w:asciiTheme="minorHAnsi" w:hAnsiTheme="minorHAnsi"/>
          <w:sz w:val="22"/>
          <w:szCs w:val="22"/>
        </w:rPr>
      </w:pPr>
      <w:r w:rsidRPr="00956ADD">
        <w:rPr>
          <w:rFonts w:asciiTheme="minorHAnsi" w:eastAsia="Georgia" w:hAnsiTheme="minorHAnsi" w:cs="Georgia"/>
          <w:sz w:val="22"/>
          <w:szCs w:val="22"/>
        </w:rPr>
        <w:t xml:space="preserve">During </w:t>
      </w:r>
      <w:proofErr w:type="spellStart"/>
      <w:r w:rsidRPr="00956ADD">
        <w:rPr>
          <w:rFonts w:asciiTheme="minorHAnsi" w:eastAsia="Georgia" w:hAnsiTheme="minorHAnsi" w:cs="Georgia"/>
          <w:sz w:val="22"/>
          <w:szCs w:val="22"/>
        </w:rPr>
        <w:t>McTeacher’s</w:t>
      </w:r>
      <w:proofErr w:type="spellEnd"/>
      <w:r w:rsidRPr="00956ADD">
        <w:rPr>
          <w:rFonts w:asciiTheme="minorHAnsi" w:eastAsia="Georgia" w:hAnsiTheme="minorHAnsi" w:cs="Georgia"/>
          <w:sz w:val="22"/>
          <w:szCs w:val="22"/>
        </w:rPr>
        <w:t xml:space="preserve"> Nights, teachers “work” at a McDonald’s, serving fast food to their own students in exchange for a small percentage of the proceeds. While schools raise little money—often as little as $1-2 per student—McDonald’s secures the kind of marketing a</w:t>
      </w:r>
      <w:r w:rsidR="00A11409">
        <w:rPr>
          <w:rFonts w:asciiTheme="minorHAnsi" w:eastAsia="Georgia" w:hAnsiTheme="minorHAnsi" w:cs="Georgia"/>
          <w:sz w:val="22"/>
          <w:szCs w:val="22"/>
        </w:rPr>
        <w:t xml:space="preserve">nd endorsement money can’t buy. </w:t>
      </w:r>
      <w:proofErr w:type="spellStart"/>
      <w:r w:rsidRPr="00956ADD">
        <w:rPr>
          <w:rFonts w:asciiTheme="minorHAnsi" w:eastAsia="Georgia" w:hAnsiTheme="minorHAnsi" w:cs="Georgia"/>
          <w:sz w:val="22"/>
          <w:szCs w:val="22"/>
        </w:rPr>
        <w:t>McTeacher’s</w:t>
      </w:r>
      <w:proofErr w:type="spellEnd"/>
      <w:r w:rsidRPr="00956ADD">
        <w:rPr>
          <w:rFonts w:asciiTheme="minorHAnsi" w:eastAsia="Georgia" w:hAnsiTheme="minorHAnsi" w:cs="Georgia"/>
          <w:sz w:val="22"/>
          <w:szCs w:val="22"/>
        </w:rPr>
        <w:t xml:space="preserve"> Nights exploit the trust between students and teachers to market</w:t>
      </w:r>
      <w:r w:rsidR="00A11409">
        <w:rPr>
          <w:rFonts w:asciiTheme="minorHAnsi" w:eastAsia="Georgia" w:hAnsiTheme="minorHAnsi" w:cs="Georgia"/>
          <w:sz w:val="22"/>
          <w:szCs w:val="22"/>
        </w:rPr>
        <w:t xml:space="preserve"> the</w:t>
      </w:r>
      <w:r w:rsidRPr="00956ADD">
        <w:rPr>
          <w:rFonts w:asciiTheme="minorHAnsi" w:eastAsia="Georgia" w:hAnsiTheme="minorHAnsi" w:cs="Georgia"/>
          <w:sz w:val="22"/>
          <w:szCs w:val="22"/>
        </w:rPr>
        <w:t xml:space="preserve"> McDonald’s brand</w:t>
      </w:r>
      <w:r w:rsidRPr="00956ADD">
        <w:rPr>
          <w:rFonts w:asciiTheme="minorHAnsi" w:eastAsia="Georgia" w:hAnsiTheme="minorHAnsi" w:cs="Georgia"/>
          <w:b/>
          <w:sz w:val="22"/>
          <w:szCs w:val="22"/>
        </w:rPr>
        <w:t>.</w:t>
      </w:r>
      <w:r w:rsidRPr="00956ADD">
        <w:rPr>
          <w:rFonts w:asciiTheme="minorHAnsi" w:eastAsia="Georgia" w:hAnsiTheme="minorHAnsi" w:cs="Georgia"/>
          <w:sz w:val="22"/>
          <w:szCs w:val="22"/>
        </w:rPr>
        <w:t xml:space="preserve">  Events like these erode the school </w:t>
      </w:r>
      <w:r w:rsidR="00A11409">
        <w:rPr>
          <w:rFonts w:asciiTheme="minorHAnsi" w:eastAsia="Georgia" w:hAnsiTheme="minorHAnsi" w:cs="Georgia"/>
          <w:sz w:val="22"/>
          <w:szCs w:val="22"/>
        </w:rPr>
        <w:t xml:space="preserve">food environment and undermine </w:t>
      </w:r>
      <w:r w:rsidR="0008264A">
        <w:rPr>
          <w:rFonts w:asciiTheme="minorHAnsi" w:eastAsia="Georgia" w:hAnsiTheme="minorHAnsi" w:cs="Georgia"/>
          <w:sz w:val="22"/>
          <w:szCs w:val="22"/>
        </w:rPr>
        <w:t xml:space="preserve">efforts </w:t>
      </w:r>
      <w:r w:rsidRPr="00956ADD">
        <w:rPr>
          <w:rFonts w:asciiTheme="minorHAnsi" w:eastAsia="Georgia" w:hAnsiTheme="minorHAnsi" w:cs="Georgia"/>
          <w:sz w:val="22"/>
          <w:szCs w:val="22"/>
        </w:rPr>
        <w:t>by school nurses, teachers, nutritionists, and parents to teach children good nutrition.</w:t>
      </w:r>
    </w:p>
    <w:p w:rsidR="00FC16AF" w:rsidRPr="00956ADD" w:rsidRDefault="00FC16AF">
      <w:pPr>
        <w:rPr>
          <w:rFonts w:asciiTheme="minorHAnsi" w:hAnsiTheme="minorHAnsi"/>
          <w:sz w:val="22"/>
          <w:szCs w:val="22"/>
        </w:rPr>
      </w:pPr>
    </w:p>
    <w:p w:rsidR="00FC16AF" w:rsidRPr="00956ADD" w:rsidRDefault="0051119D">
      <w:pPr>
        <w:rPr>
          <w:rFonts w:asciiTheme="minorHAnsi" w:hAnsiTheme="minorHAnsi"/>
          <w:sz w:val="22"/>
          <w:szCs w:val="22"/>
        </w:rPr>
      </w:pPr>
      <w:bookmarkStart w:id="0" w:name="h.gjdgxs" w:colFirst="0" w:colLast="0"/>
      <w:bookmarkEnd w:id="0"/>
      <w:r w:rsidRPr="00956ADD">
        <w:rPr>
          <w:rFonts w:asciiTheme="minorHAnsi" w:eastAsia="Georgia" w:hAnsiTheme="minorHAnsi" w:cs="Georgia"/>
          <w:sz w:val="22"/>
          <w:szCs w:val="22"/>
        </w:rPr>
        <w:t>That is why together with educators</w:t>
      </w:r>
      <w:r w:rsidR="00A11409">
        <w:rPr>
          <w:rFonts w:asciiTheme="minorHAnsi" w:eastAsia="Georgia" w:hAnsiTheme="minorHAnsi" w:cs="Georgia"/>
          <w:sz w:val="22"/>
          <w:szCs w:val="22"/>
        </w:rPr>
        <w:t>,</w:t>
      </w:r>
      <w:r w:rsidRPr="00956ADD">
        <w:rPr>
          <w:rFonts w:asciiTheme="minorHAnsi" w:eastAsia="Georgia" w:hAnsiTheme="minorHAnsi" w:cs="Georgia"/>
          <w:sz w:val="22"/>
          <w:szCs w:val="22"/>
        </w:rPr>
        <w:t xml:space="preserve"> teachers’ unions, and health professionals</w:t>
      </w:r>
      <w:r w:rsidR="00A11409">
        <w:rPr>
          <w:rFonts w:asciiTheme="minorHAnsi" w:eastAsia="Georgia" w:hAnsiTheme="minorHAnsi" w:cs="Georgia"/>
          <w:sz w:val="22"/>
          <w:szCs w:val="22"/>
        </w:rPr>
        <w:t>,</w:t>
      </w:r>
      <w:r w:rsidRPr="00956ADD">
        <w:rPr>
          <w:rFonts w:asciiTheme="minorHAnsi" w:eastAsia="Georgia" w:hAnsiTheme="minorHAnsi" w:cs="Georgia"/>
          <w:sz w:val="22"/>
          <w:szCs w:val="22"/>
        </w:rPr>
        <w:t xml:space="preserve"> I am calling o</w:t>
      </w:r>
      <w:r w:rsidR="00A11409">
        <w:rPr>
          <w:rFonts w:asciiTheme="minorHAnsi" w:eastAsia="Georgia" w:hAnsiTheme="minorHAnsi" w:cs="Georgia"/>
          <w:sz w:val="22"/>
          <w:szCs w:val="22"/>
        </w:rPr>
        <w:t xml:space="preserve">n you to end </w:t>
      </w:r>
      <w:proofErr w:type="spellStart"/>
      <w:r w:rsidR="00A11409">
        <w:rPr>
          <w:rFonts w:asciiTheme="minorHAnsi" w:eastAsia="Georgia" w:hAnsiTheme="minorHAnsi" w:cs="Georgia"/>
          <w:sz w:val="22"/>
          <w:szCs w:val="22"/>
        </w:rPr>
        <w:t>McTeacher’s</w:t>
      </w:r>
      <w:proofErr w:type="spellEnd"/>
      <w:r w:rsidR="00A11409">
        <w:rPr>
          <w:rFonts w:asciiTheme="minorHAnsi" w:eastAsia="Georgia" w:hAnsiTheme="minorHAnsi" w:cs="Georgia"/>
          <w:sz w:val="22"/>
          <w:szCs w:val="22"/>
        </w:rPr>
        <w:t xml:space="preserve"> Nights</w:t>
      </w:r>
      <w:r w:rsidRPr="00956ADD">
        <w:rPr>
          <w:rFonts w:asciiTheme="minorHAnsi" w:eastAsia="Georgia" w:hAnsiTheme="minorHAnsi" w:cs="Georgia"/>
          <w:sz w:val="22"/>
          <w:szCs w:val="22"/>
        </w:rPr>
        <w:t xml:space="preserve">. From Michelle Obama to the USDA, there is growing recognition that junk food corporations have no business in our educational institutions. As leaders and advocates for the wellbeing and healthy development of children across </w:t>
      </w:r>
      <w:r w:rsidRPr="00A11409">
        <w:rPr>
          <w:rFonts w:asciiTheme="minorHAnsi" w:eastAsia="Georgia" w:hAnsiTheme="minorHAnsi" w:cs="Georgia"/>
          <w:sz w:val="22"/>
          <w:szCs w:val="22"/>
        </w:rPr>
        <w:t>[CITY], [SCHOOL BOARD]</w:t>
      </w:r>
      <w:r w:rsidRPr="00956ADD">
        <w:rPr>
          <w:rFonts w:asciiTheme="minorHAnsi" w:eastAsia="Georgia" w:hAnsiTheme="minorHAnsi" w:cs="Georgia"/>
          <w:sz w:val="22"/>
          <w:szCs w:val="22"/>
        </w:rPr>
        <w:t xml:space="preserve"> has a unique opportunity to lead in this movement by sending junk food corporations a strong message that the health of our children is not for sale. </w:t>
      </w:r>
    </w:p>
    <w:p w:rsidR="00FC16AF" w:rsidRPr="00956ADD" w:rsidRDefault="00FC16AF">
      <w:pPr>
        <w:rPr>
          <w:rFonts w:asciiTheme="minorHAnsi" w:hAnsiTheme="minorHAnsi"/>
          <w:sz w:val="22"/>
          <w:szCs w:val="22"/>
        </w:rPr>
      </w:pPr>
    </w:p>
    <w:p w:rsidR="00FC16AF" w:rsidRPr="00956ADD" w:rsidRDefault="0051119D">
      <w:pPr>
        <w:rPr>
          <w:rFonts w:asciiTheme="minorHAnsi" w:hAnsiTheme="minorHAnsi"/>
          <w:sz w:val="22"/>
          <w:szCs w:val="22"/>
        </w:rPr>
      </w:pPr>
      <w:bookmarkStart w:id="1" w:name="h.30j0zll" w:colFirst="0" w:colLast="0"/>
      <w:bookmarkEnd w:id="1"/>
      <w:r w:rsidRPr="00956ADD">
        <w:rPr>
          <w:rFonts w:asciiTheme="minorHAnsi" w:eastAsia="Georgia" w:hAnsiTheme="minorHAnsi" w:cs="Georgia"/>
          <w:sz w:val="22"/>
          <w:szCs w:val="22"/>
        </w:rPr>
        <w:t xml:space="preserve">We ask that you heed this call to end all forms of junk food marketing in our schools, including “fundraisers” like </w:t>
      </w:r>
      <w:proofErr w:type="spellStart"/>
      <w:r w:rsidRPr="00956ADD">
        <w:rPr>
          <w:rFonts w:asciiTheme="minorHAnsi" w:eastAsia="Georgia" w:hAnsiTheme="minorHAnsi" w:cs="Georgia"/>
          <w:sz w:val="22"/>
          <w:szCs w:val="22"/>
        </w:rPr>
        <w:t>McTeacher’s</w:t>
      </w:r>
      <w:proofErr w:type="spellEnd"/>
      <w:r w:rsidRPr="00956ADD">
        <w:rPr>
          <w:rFonts w:asciiTheme="minorHAnsi" w:eastAsia="Georgia" w:hAnsiTheme="minorHAnsi" w:cs="Georgia"/>
          <w:sz w:val="22"/>
          <w:szCs w:val="22"/>
        </w:rPr>
        <w:t xml:space="preserve"> Nights. Our children will benefit greatly from your leadership on this issue. </w:t>
      </w:r>
    </w:p>
    <w:p w:rsidR="00FC16AF" w:rsidRPr="00956ADD" w:rsidRDefault="00FC16AF">
      <w:pPr>
        <w:rPr>
          <w:rFonts w:asciiTheme="minorHAnsi" w:hAnsiTheme="minorHAnsi"/>
          <w:sz w:val="22"/>
          <w:szCs w:val="22"/>
        </w:rPr>
      </w:pPr>
    </w:p>
    <w:p w:rsidR="00FC16AF" w:rsidRPr="00956ADD" w:rsidRDefault="0051119D">
      <w:pPr>
        <w:rPr>
          <w:rFonts w:asciiTheme="minorHAnsi" w:hAnsiTheme="minorHAnsi"/>
          <w:sz w:val="22"/>
          <w:szCs w:val="22"/>
        </w:rPr>
      </w:pPr>
      <w:r w:rsidRPr="00956ADD">
        <w:rPr>
          <w:rFonts w:asciiTheme="minorHAnsi" w:eastAsia="Georgia" w:hAnsiTheme="minorHAnsi" w:cs="Georgia"/>
          <w:sz w:val="22"/>
          <w:szCs w:val="22"/>
        </w:rPr>
        <w:t xml:space="preserve">Sincerely, </w:t>
      </w:r>
      <w:bookmarkStart w:id="2" w:name="_GoBack"/>
      <w:bookmarkEnd w:id="2"/>
    </w:p>
    <w:sectPr w:rsidR="00FC16AF" w:rsidRPr="00956ADD" w:rsidSect="006B1D26">
      <w:pgSz w:w="12240" w:h="15840"/>
      <w:pgMar w:top="1440" w:right="1440" w:bottom="540" w:left="1440" w:header="72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E7E" w:rsidRDefault="00737E7E">
      <w:r>
        <w:separator/>
      </w:r>
    </w:p>
  </w:endnote>
  <w:endnote w:type="continuationSeparator" w:id="0">
    <w:p w:rsidR="00737E7E" w:rsidRDefault="0073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E7E" w:rsidRDefault="00737E7E">
      <w:r>
        <w:separator/>
      </w:r>
    </w:p>
  </w:footnote>
  <w:footnote w:type="continuationSeparator" w:id="0">
    <w:p w:rsidR="00737E7E" w:rsidRDefault="00737E7E">
      <w:r>
        <w:continuationSeparator/>
      </w:r>
    </w:p>
  </w:footnote>
  <w:footnote w:id="1">
    <w:p w:rsidR="00FC16AF" w:rsidRPr="006B1D26" w:rsidRDefault="0051119D">
      <w:pPr>
        <w:rPr>
          <w:rFonts w:asciiTheme="minorHAnsi" w:hAnsiTheme="minorHAnsi"/>
          <w:sz w:val="18"/>
          <w:szCs w:val="18"/>
        </w:rPr>
      </w:pPr>
      <w:r w:rsidRPr="006B1D26">
        <w:rPr>
          <w:rFonts w:asciiTheme="minorHAnsi" w:hAnsiTheme="minorHAnsi"/>
          <w:sz w:val="18"/>
          <w:szCs w:val="18"/>
          <w:vertAlign w:val="superscript"/>
        </w:rPr>
        <w:footnoteRef/>
      </w:r>
      <w:r w:rsidRPr="006B1D26">
        <w:rPr>
          <w:rFonts w:asciiTheme="minorHAnsi" w:hAnsiTheme="minorHAnsi"/>
          <w:sz w:val="18"/>
          <w:szCs w:val="18"/>
        </w:rPr>
        <w:t xml:space="preserve"> http://articles.latimes.com/2003/jun/15/nation/na-diabetes15</w:t>
      </w:r>
    </w:p>
  </w:footnote>
  <w:footnote w:id="2">
    <w:p w:rsidR="00FC16AF" w:rsidRPr="006B1D26" w:rsidRDefault="0051119D">
      <w:pPr>
        <w:rPr>
          <w:rFonts w:asciiTheme="minorHAnsi" w:hAnsiTheme="minorHAnsi"/>
          <w:sz w:val="18"/>
          <w:szCs w:val="18"/>
        </w:rPr>
      </w:pPr>
      <w:r w:rsidRPr="006B1D26">
        <w:rPr>
          <w:rFonts w:asciiTheme="minorHAnsi" w:hAnsiTheme="minorHAnsi"/>
          <w:sz w:val="18"/>
          <w:szCs w:val="18"/>
          <w:vertAlign w:val="superscript"/>
        </w:rPr>
        <w:footnoteRef/>
      </w:r>
      <w:r w:rsidRPr="006B1D26">
        <w:rPr>
          <w:rFonts w:asciiTheme="minorHAnsi" w:hAnsiTheme="minorHAnsi"/>
          <w:sz w:val="18"/>
          <w:szCs w:val="18"/>
        </w:rPr>
        <w:t xml:space="preserve"> http://www.nytimes.com/2005/03/17/health/childrens-life-expectancy-being-cut-short-by-obesity.html</w:t>
      </w:r>
    </w:p>
  </w:footnote>
  <w:footnote w:id="3">
    <w:p w:rsidR="0008264A" w:rsidRPr="006B1D26" w:rsidRDefault="0051119D">
      <w:pPr>
        <w:rPr>
          <w:rFonts w:asciiTheme="minorHAnsi" w:eastAsia="Arial" w:hAnsiTheme="minorHAnsi" w:cs="Arial"/>
          <w:color w:val="263238"/>
          <w:sz w:val="18"/>
          <w:szCs w:val="18"/>
          <w:u w:val="single"/>
        </w:rPr>
      </w:pPr>
      <w:r w:rsidRPr="006B1D26">
        <w:rPr>
          <w:rFonts w:asciiTheme="minorHAnsi" w:hAnsiTheme="minorHAnsi"/>
          <w:sz w:val="18"/>
          <w:szCs w:val="18"/>
          <w:vertAlign w:val="superscript"/>
        </w:rPr>
        <w:footnoteRef/>
      </w:r>
      <w:hyperlink r:id="rId1">
        <w:r w:rsidRPr="006B1D26">
          <w:rPr>
            <w:rFonts w:asciiTheme="minorHAnsi" w:eastAsia="Arial" w:hAnsiTheme="minorHAnsi" w:cs="Arial"/>
            <w:color w:val="263238"/>
            <w:sz w:val="18"/>
            <w:szCs w:val="18"/>
            <w:u w:val="single"/>
          </w:rPr>
          <w:t>https://www.aap.org/en-us/advocacy-and-policy/federal-advocacy/documents/imageskidsseeonthescreen.pdf</w:t>
        </w:r>
      </w:hyperlink>
    </w:p>
  </w:footnote>
  <w:footnote w:id="4">
    <w:p w:rsidR="0008264A" w:rsidRPr="006B1D26" w:rsidRDefault="0008264A">
      <w:pPr>
        <w:pStyle w:val="FootnoteText"/>
        <w:rPr>
          <w:rFonts w:asciiTheme="minorHAnsi" w:hAnsiTheme="minorHAnsi"/>
          <w:sz w:val="18"/>
          <w:szCs w:val="18"/>
        </w:rPr>
      </w:pPr>
      <w:r w:rsidRPr="006B1D26">
        <w:rPr>
          <w:rStyle w:val="FootnoteReference"/>
          <w:rFonts w:asciiTheme="minorHAnsi" w:hAnsiTheme="minorHAnsi"/>
          <w:sz w:val="18"/>
          <w:szCs w:val="18"/>
        </w:rPr>
        <w:footnoteRef/>
      </w:r>
      <w:r w:rsidRPr="006B1D26">
        <w:rPr>
          <w:rFonts w:asciiTheme="minorHAnsi" w:hAnsiTheme="minorHAnsi"/>
          <w:sz w:val="18"/>
          <w:szCs w:val="18"/>
        </w:rPr>
        <w:t xml:space="preserve"> Dan Glickman et al., “Accelerating Progress in Obesity Prevention: Solving the Weight of the Nation,” </w:t>
      </w:r>
      <w:r w:rsidRPr="006B1D26">
        <w:rPr>
          <w:rFonts w:asciiTheme="minorHAnsi" w:hAnsiTheme="minorHAnsi"/>
          <w:i/>
          <w:iCs/>
          <w:sz w:val="18"/>
          <w:szCs w:val="18"/>
        </w:rPr>
        <w:t>Institute of Medicine of the National Academies</w:t>
      </w:r>
      <w:r w:rsidRPr="006B1D26">
        <w:rPr>
          <w:rFonts w:asciiTheme="minorHAnsi" w:hAnsiTheme="minorHAnsi"/>
          <w:sz w:val="18"/>
          <w:szCs w:val="18"/>
        </w:rPr>
        <w:t>, 2012, http://www.iom.edu/Reports/2012/Accelerating-Progress-in-Obesity-Prevention.aspx</w:t>
      </w:r>
    </w:p>
  </w:footnote>
  <w:footnote w:id="5">
    <w:p w:rsidR="0008264A" w:rsidRPr="006B1D26" w:rsidRDefault="0008264A" w:rsidP="0008264A">
      <w:pPr>
        <w:pStyle w:val="FootnoteText"/>
        <w:rPr>
          <w:rFonts w:asciiTheme="minorHAnsi" w:hAnsiTheme="minorHAnsi"/>
          <w:sz w:val="18"/>
          <w:szCs w:val="18"/>
        </w:rPr>
      </w:pPr>
      <w:r w:rsidRPr="006B1D26">
        <w:rPr>
          <w:rStyle w:val="FootnoteReference"/>
          <w:rFonts w:asciiTheme="minorHAnsi" w:hAnsiTheme="minorHAnsi"/>
          <w:sz w:val="18"/>
          <w:szCs w:val="18"/>
        </w:rPr>
        <w:footnoteRef/>
      </w:r>
      <w:r w:rsidRPr="006B1D26">
        <w:rPr>
          <w:rFonts w:asciiTheme="minorHAnsi" w:hAnsiTheme="minorHAnsi"/>
          <w:sz w:val="18"/>
          <w:szCs w:val="18"/>
        </w:rPr>
        <w:t xml:space="preserve"> Chou et al., “Fast-Food Restaurant Advertising on Television and its Influence on Childhood Obesity,” </w:t>
      </w:r>
      <w:r w:rsidRPr="006B1D26">
        <w:rPr>
          <w:rFonts w:asciiTheme="minorHAnsi" w:hAnsiTheme="minorHAnsi"/>
          <w:i/>
          <w:iCs/>
          <w:sz w:val="18"/>
          <w:szCs w:val="18"/>
        </w:rPr>
        <w:t>National Bureau of Economic Research</w:t>
      </w:r>
      <w:r w:rsidRPr="006B1D26">
        <w:rPr>
          <w:rFonts w:asciiTheme="minorHAnsi" w:hAnsiTheme="minorHAnsi"/>
          <w:sz w:val="18"/>
          <w:szCs w:val="18"/>
        </w:rPr>
        <w:t>, December 2005, http://www.nber.org/papers/w11879.pdf?new_window=1 </w:t>
      </w:r>
    </w:p>
    <w:p w:rsidR="0008264A" w:rsidRPr="0008264A" w:rsidRDefault="0008264A" w:rsidP="0008264A">
      <w:pPr>
        <w:pStyle w:val="FootnoteText"/>
        <w:rPr>
          <w:rFonts w:asciiTheme="minorHAnsi" w:hAnsiTheme="minorHAns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AF"/>
    <w:rsid w:val="0008264A"/>
    <w:rsid w:val="00353822"/>
    <w:rsid w:val="003A6BAA"/>
    <w:rsid w:val="004A2473"/>
    <w:rsid w:val="0051119D"/>
    <w:rsid w:val="006B1D26"/>
    <w:rsid w:val="00737E7E"/>
    <w:rsid w:val="00956ADD"/>
    <w:rsid w:val="00A11409"/>
    <w:rsid w:val="00FC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C15E2-747E-4D6A-999B-F29BE219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6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ADD"/>
    <w:rPr>
      <w:rFonts w:ascii="Segoe UI" w:hAnsi="Segoe UI" w:cs="Segoe UI"/>
      <w:sz w:val="18"/>
      <w:szCs w:val="18"/>
    </w:rPr>
  </w:style>
  <w:style w:type="paragraph" w:styleId="FootnoteText">
    <w:name w:val="footnote text"/>
    <w:basedOn w:val="Normal"/>
    <w:link w:val="FootnoteTextChar"/>
    <w:uiPriority w:val="99"/>
    <w:semiHidden/>
    <w:unhideWhenUsed/>
    <w:rsid w:val="0008264A"/>
    <w:rPr>
      <w:sz w:val="20"/>
      <w:szCs w:val="20"/>
    </w:rPr>
  </w:style>
  <w:style w:type="character" w:customStyle="1" w:styleId="FootnoteTextChar">
    <w:name w:val="Footnote Text Char"/>
    <w:basedOn w:val="DefaultParagraphFont"/>
    <w:link w:val="FootnoteText"/>
    <w:uiPriority w:val="99"/>
    <w:semiHidden/>
    <w:rsid w:val="0008264A"/>
    <w:rPr>
      <w:sz w:val="20"/>
      <w:szCs w:val="20"/>
    </w:rPr>
  </w:style>
  <w:style w:type="character" w:styleId="FootnoteReference">
    <w:name w:val="footnote reference"/>
    <w:basedOn w:val="DefaultParagraphFont"/>
    <w:uiPriority w:val="99"/>
    <w:semiHidden/>
    <w:unhideWhenUsed/>
    <w:rsid w:val="0008264A"/>
    <w:rPr>
      <w:vertAlign w:val="superscript"/>
    </w:rPr>
  </w:style>
  <w:style w:type="character" w:styleId="Hyperlink">
    <w:name w:val="Hyperlink"/>
    <w:basedOn w:val="DefaultParagraphFont"/>
    <w:uiPriority w:val="99"/>
    <w:unhideWhenUsed/>
    <w:rsid w:val="0008264A"/>
    <w:rPr>
      <w:color w:val="0563C1" w:themeColor="hyperlink"/>
      <w:u w:val="single"/>
    </w:rPr>
  </w:style>
  <w:style w:type="paragraph" w:styleId="Header">
    <w:name w:val="header"/>
    <w:basedOn w:val="Normal"/>
    <w:link w:val="HeaderChar"/>
    <w:uiPriority w:val="99"/>
    <w:unhideWhenUsed/>
    <w:rsid w:val="006B1D26"/>
    <w:pPr>
      <w:tabs>
        <w:tab w:val="center" w:pos="4680"/>
        <w:tab w:val="right" w:pos="9360"/>
      </w:tabs>
    </w:pPr>
  </w:style>
  <w:style w:type="character" w:customStyle="1" w:styleId="HeaderChar">
    <w:name w:val="Header Char"/>
    <w:basedOn w:val="DefaultParagraphFont"/>
    <w:link w:val="Header"/>
    <w:uiPriority w:val="99"/>
    <w:rsid w:val="006B1D26"/>
  </w:style>
  <w:style w:type="paragraph" w:styleId="Footer">
    <w:name w:val="footer"/>
    <w:basedOn w:val="Normal"/>
    <w:link w:val="FooterChar"/>
    <w:uiPriority w:val="99"/>
    <w:unhideWhenUsed/>
    <w:rsid w:val="006B1D26"/>
    <w:pPr>
      <w:tabs>
        <w:tab w:val="center" w:pos="4680"/>
        <w:tab w:val="right" w:pos="9360"/>
      </w:tabs>
    </w:pPr>
  </w:style>
  <w:style w:type="character" w:customStyle="1" w:styleId="FooterChar">
    <w:name w:val="Footer Char"/>
    <w:basedOn w:val="DefaultParagraphFont"/>
    <w:link w:val="Footer"/>
    <w:uiPriority w:val="99"/>
    <w:rsid w:val="006B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ap.org/en-us/advocacy-and-policy/federal-advocacy/documents/imageskidsseeonthescr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FC3C7-1A84-4E65-910D-38477B2E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3</cp:revision>
  <dcterms:created xsi:type="dcterms:W3CDTF">2016-03-30T16:14:00Z</dcterms:created>
  <dcterms:modified xsi:type="dcterms:W3CDTF">2016-03-30T16:18:00Z</dcterms:modified>
</cp:coreProperties>
</file>